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B63" w:rsidRPr="00C20B63" w:rsidRDefault="00C20B63" w:rsidP="00C20B63">
      <w:pPr>
        <w:spacing w:after="0" w:line="240" w:lineRule="auto"/>
        <w:rPr>
          <w:rFonts w:ascii="Calibri" w:eastAsia="Calibri" w:hAnsi="Calibri" w:cs="Times New Roman"/>
        </w:rPr>
      </w:pPr>
      <w:r w:rsidRPr="00C20B63">
        <w:rPr>
          <w:rFonts w:ascii="Calibri" w:eastAsia="Calibri" w:hAnsi="Calibri" w:cs="Times New Roman"/>
          <w:noProof/>
          <w:lang w:eastAsia="pt-BR"/>
        </w:rPr>
        <w:drawing>
          <wp:anchor distT="0" distB="0" distL="114300" distR="114300" simplePos="0" relativeHeight="251659264" behindDoc="0" locked="0" layoutInCell="1" allowOverlap="1" wp14:anchorId="10FDF032" wp14:editId="78F45E31">
            <wp:simplePos x="0" y="0"/>
            <wp:positionH relativeFrom="column">
              <wp:posOffset>3371850</wp:posOffset>
            </wp:positionH>
            <wp:positionV relativeFrom="paragraph">
              <wp:posOffset>-85725</wp:posOffset>
            </wp:positionV>
            <wp:extent cx="3712210" cy="542925"/>
            <wp:effectExtent l="0" t="0" r="2540" b="9525"/>
            <wp:wrapSquare wrapText="bothSides"/>
            <wp:docPr id="2"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2210" cy="542925"/>
                    </a:xfrm>
                    <a:prstGeom prst="rect">
                      <a:avLst/>
                    </a:prstGeom>
                    <a:noFill/>
                  </pic:spPr>
                </pic:pic>
              </a:graphicData>
            </a:graphic>
            <wp14:sizeRelH relativeFrom="page">
              <wp14:pctWidth>0</wp14:pctWidth>
            </wp14:sizeRelH>
            <wp14:sizeRelV relativeFrom="page">
              <wp14:pctHeight>0</wp14:pctHeight>
            </wp14:sizeRelV>
          </wp:anchor>
        </w:drawing>
      </w:r>
      <w:r w:rsidRPr="00C20B63">
        <w:rPr>
          <w:rFonts w:ascii="Calibri" w:eastAsia="Calibri" w:hAnsi="Calibri" w:cs="Times New Roman"/>
        </w:rPr>
        <w:t>Data: ___/___/___</w:t>
      </w:r>
    </w:p>
    <w:p w:rsidR="00C20B63" w:rsidRPr="00C20B63" w:rsidRDefault="00C20B63" w:rsidP="00C20B63">
      <w:pPr>
        <w:spacing w:after="0" w:line="240" w:lineRule="auto"/>
        <w:rPr>
          <w:rFonts w:ascii="Calibri" w:eastAsia="Calibri" w:hAnsi="Calibri" w:cs="Times New Roman"/>
        </w:rPr>
      </w:pPr>
      <w:r w:rsidRPr="00C20B63">
        <w:rPr>
          <w:rFonts w:ascii="Calibri" w:eastAsia="Calibri" w:hAnsi="Calibri" w:cs="Times New Roman"/>
        </w:rPr>
        <w:t>Professor:</w:t>
      </w:r>
      <w:proofErr w:type="gramStart"/>
      <w:r w:rsidRPr="00C20B63">
        <w:rPr>
          <w:rFonts w:ascii="Calibri" w:eastAsia="Calibri" w:hAnsi="Calibri" w:cs="Times New Roman"/>
        </w:rPr>
        <w:t xml:space="preserve">  </w:t>
      </w:r>
      <w:proofErr w:type="gramEnd"/>
      <w:r w:rsidRPr="00C20B63">
        <w:rPr>
          <w:rFonts w:ascii="Calibri" w:eastAsia="Calibri" w:hAnsi="Calibri" w:cs="Times New Roman"/>
        </w:rPr>
        <w:t xml:space="preserve">Anderson    </w:t>
      </w:r>
      <w:r>
        <w:rPr>
          <w:rFonts w:ascii="Calibri" w:eastAsia="Calibri" w:hAnsi="Calibri" w:cs="Times New Roman"/>
        </w:rPr>
        <w:t>2º e 3</w:t>
      </w:r>
      <w:r w:rsidRPr="00C20B63">
        <w:rPr>
          <w:rFonts w:ascii="Calibri" w:eastAsia="Calibri" w:hAnsi="Calibri" w:cs="Times New Roman"/>
        </w:rPr>
        <w:t>º ANO   Turma:  ____</w:t>
      </w:r>
    </w:p>
    <w:p w:rsidR="00C20B63" w:rsidRPr="00C20B63" w:rsidRDefault="00C20B63" w:rsidP="00C20B63">
      <w:pPr>
        <w:spacing w:after="0" w:line="240" w:lineRule="auto"/>
        <w:rPr>
          <w:rFonts w:ascii="Calibri" w:eastAsia="Calibri" w:hAnsi="Calibri" w:cs="Times New Roman"/>
          <w:sz w:val="4"/>
        </w:rPr>
      </w:pPr>
    </w:p>
    <w:p w:rsidR="00C20B63" w:rsidRPr="00C20B63" w:rsidRDefault="00C20B63" w:rsidP="00C20B63">
      <w:pPr>
        <w:spacing w:after="0" w:line="240" w:lineRule="auto"/>
        <w:rPr>
          <w:rFonts w:ascii="Calibri" w:eastAsia="Calibri" w:hAnsi="Calibri" w:cs="Times New Roman"/>
        </w:rPr>
      </w:pPr>
      <w:r w:rsidRPr="00C20B63">
        <w:rPr>
          <w:rFonts w:ascii="Calibri" w:eastAsia="Calibri" w:hAnsi="Calibri" w:cs="Times New Roman"/>
        </w:rPr>
        <w:t>Aluno: ________________________________________</w:t>
      </w:r>
    </w:p>
    <w:p w:rsidR="00C20B63" w:rsidRDefault="00C20B63" w:rsidP="00C20B63">
      <w:pPr>
        <w:pStyle w:val="SemEspaamento"/>
        <w:jc w:val="both"/>
        <w:rPr>
          <w:rFonts w:ascii="Arial" w:hAnsi="Arial" w:cs="Arial"/>
          <w:shd w:val="clear" w:color="auto" w:fill="EEEEEE"/>
        </w:rPr>
      </w:pPr>
    </w:p>
    <w:p w:rsidR="0054250F" w:rsidRPr="00C20B63" w:rsidRDefault="00C20B63" w:rsidP="00C20B63">
      <w:pPr>
        <w:pStyle w:val="SemEspaamento"/>
        <w:jc w:val="center"/>
        <w:rPr>
          <w:rFonts w:ascii="Arial" w:hAnsi="Arial" w:cs="Arial"/>
          <w:b/>
          <w:shd w:val="clear" w:color="auto" w:fill="EEEEEE"/>
        </w:rPr>
      </w:pPr>
      <w:r w:rsidRPr="00C20B63">
        <w:rPr>
          <w:rFonts w:ascii="Arial" w:hAnsi="Arial" w:cs="Arial"/>
          <w:b/>
          <w:shd w:val="clear" w:color="auto" w:fill="EEEEEE"/>
        </w:rPr>
        <w:t>HANDEBOL EM CADEIRA DE RODAS</w:t>
      </w:r>
    </w:p>
    <w:p w:rsidR="0054250F" w:rsidRPr="00C20B63" w:rsidRDefault="0054250F" w:rsidP="00C20B63">
      <w:pPr>
        <w:pStyle w:val="SemEspaamento"/>
        <w:jc w:val="both"/>
        <w:rPr>
          <w:rFonts w:ascii="Arial" w:eastAsia="Times New Roman" w:hAnsi="Arial" w:cs="Arial"/>
          <w:color w:val="424242"/>
          <w:sz w:val="6"/>
          <w:lang w:eastAsia="pt-BR"/>
        </w:rPr>
      </w:pPr>
    </w:p>
    <w:p w:rsidR="0054250F" w:rsidRPr="00C20B63" w:rsidRDefault="0054250F" w:rsidP="00C20B63">
      <w:pPr>
        <w:pStyle w:val="SemEspaamento"/>
        <w:spacing w:line="276" w:lineRule="auto"/>
        <w:jc w:val="both"/>
        <w:rPr>
          <w:rFonts w:ascii="Arial" w:eastAsia="Times New Roman" w:hAnsi="Arial" w:cs="Arial"/>
          <w:color w:val="424242"/>
          <w:lang w:eastAsia="pt-BR"/>
        </w:rPr>
      </w:pPr>
      <w:r w:rsidRPr="00C20B63">
        <w:rPr>
          <w:rFonts w:ascii="Arial" w:eastAsia="Times New Roman" w:hAnsi="Arial" w:cs="Arial"/>
          <w:color w:val="424242"/>
          <w:lang w:eastAsia="pt-BR"/>
        </w:rPr>
        <w:t xml:space="preserve">Em 1948, Ludwig </w:t>
      </w:r>
      <w:proofErr w:type="spellStart"/>
      <w:r w:rsidRPr="00C20B63">
        <w:rPr>
          <w:rFonts w:ascii="Arial" w:eastAsia="Times New Roman" w:hAnsi="Arial" w:cs="Arial"/>
          <w:color w:val="424242"/>
          <w:lang w:eastAsia="pt-BR"/>
        </w:rPr>
        <w:t>Guttman</w:t>
      </w:r>
      <w:proofErr w:type="spellEnd"/>
      <w:r w:rsidRPr="00C20B63">
        <w:rPr>
          <w:rFonts w:ascii="Arial" w:eastAsia="Times New Roman" w:hAnsi="Arial" w:cs="Arial"/>
          <w:color w:val="424242"/>
          <w:lang w:eastAsia="pt-BR"/>
        </w:rPr>
        <w:t xml:space="preserve"> organizou uma competição esportiva que envolvia veteranos da Segunda Guerra Mundial com lesão na medula espinhal. O evento foi realizado em </w:t>
      </w:r>
      <w:proofErr w:type="spellStart"/>
      <w:r w:rsidRPr="00C20B63">
        <w:rPr>
          <w:rFonts w:ascii="Arial" w:eastAsia="Times New Roman" w:hAnsi="Arial" w:cs="Arial"/>
          <w:color w:val="424242"/>
          <w:lang w:eastAsia="pt-BR"/>
        </w:rPr>
        <w:t>Stoke</w:t>
      </w:r>
      <w:proofErr w:type="spellEnd"/>
      <w:r w:rsidRPr="00C20B63">
        <w:rPr>
          <w:rFonts w:ascii="Arial" w:eastAsia="Times New Roman" w:hAnsi="Arial" w:cs="Arial"/>
          <w:color w:val="424242"/>
          <w:lang w:eastAsia="pt-BR"/>
        </w:rPr>
        <w:t xml:space="preserve"> </w:t>
      </w:r>
      <w:proofErr w:type="spellStart"/>
      <w:r w:rsidRPr="00C20B63">
        <w:rPr>
          <w:rFonts w:ascii="Arial" w:eastAsia="Times New Roman" w:hAnsi="Arial" w:cs="Arial"/>
          <w:color w:val="424242"/>
          <w:lang w:eastAsia="pt-BR"/>
        </w:rPr>
        <w:t>Mandeville</w:t>
      </w:r>
      <w:proofErr w:type="spellEnd"/>
      <w:r w:rsidRPr="00C20B63">
        <w:rPr>
          <w:rFonts w:ascii="Arial" w:eastAsia="Times New Roman" w:hAnsi="Arial" w:cs="Arial"/>
          <w:color w:val="424242"/>
          <w:lang w:eastAsia="pt-BR"/>
        </w:rPr>
        <w:t>, na Inglaterra. Quatro anos mais tarde, competidores da Holanda uniram-se aos jogos e assim nasceu um movimento internacional. Este fez com que jogos no estilo olímpico, para atletas deficientes, fossem organizados pela primeira vez em Roma, em 1960. Hoje, as Paraolimpíadas são eventos de esporte de alto rendimento para atletas deficientes.</w:t>
      </w:r>
    </w:p>
    <w:p w:rsidR="0054250F" w:rsidRDefault="0054250F" w:rsidP="00C20B63">
      <w:pPr>
        <w:pStyle w:val="SemEspaamento"/>
        <w:spacing w:line="276" w:lineRule="auto"/>
        <w:jc w:val="both"/>
        <w:rPr>
          <w:rFonts w:ascii="Arial" w:eastAsia="Times New Roman" w:hAnsi="Arial" w:cs="Arial"/>
          <w:color w:val="0D5AA3"/>
          <w:u w:val="single"/>
          <w:lang w:eastAsia="pt-BR"/>
        </w:rPr>
      </w:pPr>
      <w:r w:rsidRPr="00C20B63">
        <w:rPr>
          <w:rFonts w:ascii="Arial" w:eastAsia="Times New Roman" w:hAnsi="Arial" w:cs="Arial"/>
          <w:color w:val="424242"/>
          <w:lang w:eastAsia="pt-BR"/>
        </w:rPr>
        <w:t>Fonte: </w:t>
      </w:r>
      <w:hyperlink r:id="rId6" w:tgtFrame="_blank" w:history="1">
        <w:r w:rsidRPr="00C20B63">
          <w:rPr>
            <w:rFonts w:ascii="Arial" w:eastAsia="Times New Roman" w:hAnsi="Arial" w:cs="Arial"/>
            <w:color w:val="0D5AA3"/>
            <w:u w:val="single"/>
            <w:lang w:eastAsia="pt-BR"/>
          </w:rPr>
          <w:t>http://www.cpb.org.br/jogos-paralimpicos/</w:t>
        </w:r>
      </w:hyperlink>
    </w:p>
    <w:p w:rsidR="00C20B63" w:rsidRPr="00C20B63" w:rsidRDefault="00C20B63" w:rsidP="00C20B63">
      <w:pPr>
        <w:pStyle w:val="SemEspaamento"/>
        <w:spacing w:line="276" w:lineRule="auto"/>
        <w:jc w:val="both"/>
        <w:rPr>
          <w:rFonts w:ascii="Arial" w:eastAsia="Times New Roman" w:hAnsi="Arial" w:cs="Arial"/>
          <w:color w:val="424242"/>
          <w:sz w:val="8"/>
          <w:lang w:eastAsia="pt-BR"/>
        </w:rPr>
      </w:pPr>
    </w:p>
    <w:tbl>
      <w:tblPr>
        <w:tblpPr w:leftFromText="45" w:rightFromText="45" w:vertAnchor="text"/>
        <w:tblW w:w="3000" w:type="dxa"/>
        <w:tblCellSpacing w:w="7" w:type="dxa"/>
        <w:shd w:val="clear" w:color="auto" w:fill="EEEEEE"/>
        <w:tblCellMar>
          <w:top w:w="15" w:type="dxa"/>
          <w:left w:w="15" w:type="dxa"/>
          <w:bottom w:w="15" w:type="dxa"/>
          <w:right w:w="15" w:type="dxa"/>
        </w:tblCellMar>
        <w:tblLook w:val="04A0" w:firstRow="1" w:lastRow="0" w:firstColumn="1" w:lastColumn="0" w:noHBand="0" w:noVBand="1"/>
      </w:tblPr>
      <w:tblGrid>
        <w:gridCol w:w="5308"/>
      </w:tblGrid>
      <w:tr w:rsidR="0054250F" w:rsidRPr="00C20B63" w:rsidTr="0054250F">
        <w:trPr>
          <w:tblCellSpacing w:w="7" w:type="dxa"/>
        </w:trPr>
        <w:tc>
          <w:tcPr>
            <w:tcW w:w="0" w:type="auto"/>
            <w:shd w:val="clear" w:color="auto" w:fill="EEEEEE"/>
            <w:vAlign w:val="center"/>
            <w:hideMark/>
          </w:tcPr>
          <w:p w:rsidR="0054250F" w:rsidRPr="00C20B63" w:rsidRDefault="0054250F" w:rsidP="00C20B63">
            <w:pPr>
              <w:pStyle w:val="SemEspaamento"/>
              <w:spacing w:line="276" w:lineRule="auto"/>
              <w:jc w:val="both"/>
              <w:rPr>
                <w:rFonts w:ascii="Arial" w:eastAsia="Times New Roman" w:hAnsi="Arial" w:cs="Arial"/>
                <w:color w:val="424242"/>
                <w:lang w:eastAsia="pt-BR"/>
              </w:rPr>
            </w:pPr>
            <w:r w:rsidRPr="00C20B63">
              <w:rPr>
                <w:rFonts w:ascii="Arial" w:eastAsia="Times New Roman" w:hAnsi="Arial" w:cs="Arial"/>
                <w:noProof/>
                <w:color w:val="424242"/>
                <w:lang w:eastAsia="pt-BR"/>
              </w:rPr>
              <w:drawing>
                <wp:inline distT="0" distB="0" distL="0" distR="0" wp14:anchorId="1E764552" wp14:editId="3A4E2412">
                  <wp:extent cx="3333750" cy="3724275"/>
                  <wp:effectExtent l="0" t="0" r="0" b="9525"/>
                  <wp:docPr id="1" name="recurso_midia_7" descr="Cadeirantes do handeb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urso_midia_7" descr="Cadeirantes do handebol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3724275"/>
                          </a:xfrm>
                          <a:prstGeom prst="rect">
                            <a:avLst/>
                          </a:prstGeom>
                          <a:noFill/>
                          <a:ln>
                            <a:noFill/>
                          </a:ln>
                        </pic:spPr>
                      </pic:pic>
                    </a:graphicData>
                  </a:graphic>
                </wp:inline>
              </w:drawing>
            </w:r>
            <w:r w:rsidRPr="00C20B63">
              <w:rPr>
                <w:rFonts w:ascii="Arial" w:eastAsia="Times New Roman" w:hAnsi="Arial" w:cs="Arial"/>
                <w:color w:val="424242"/>
                <w:lang w:eastAsia="pt-BR"/>
              </w:rPr>
              <w:br/>
              <w:t> </w:t>
            </w:r>
          </w:p>
        </w:tc>
      </w:tr>
      <w:tr w:rsidR="0054250F" w:rsidRPr="00C20B63" w:rsidTr="0054250F">
        <w:trPr>
          <w:tblCellSpacing w:w="7" w:type="dxa"/>
        </w:trPr>
        <w:tc>
          <w:tcPr>
            <w:tcW w:w="0" w:type="auto"/>
            <w:shd w:val="clear" w:color="auto" w:fill="DDDDDD"/>
            <w:vAlign w:val="center"/>
            <w:hideMark/>
          </w:tcPr>
          <w:p w:rsidR="0054250F" w:rsidRPr="00C20B63" w:rsidRDefault="0054250F" w:rsidP="00C20B63">
            <w:pPr>
              <w:pStyle w:val="SemEspaamento"/>
              <w:spacing w:line="276" w:lineRule="auto"/>
              <w:jc w:val="both"/>
              <w:rPr>
                <w:rFonts w:ascii="Arial" w:eastAsia="Times New Roman" w:hAnsi="Arial" w:cs="Arial"/>
                <w:color w:val="424242"/>
                <w:lang w:eastAsia="pt-BR"/>
              </w:rPr>
            </w:pPr>
            <w:r w:rsidRPr="00C20B63">
              <w:rPr>
                <w:rFonts w:ascii="Arial" w:eastAsia="Times New Roman" w:hAnsi="Arial" w:cs="Arial"/>
                <w:color w:val="424242"/>
                <w:lang w:eastAsia="pt-BR"/>
              </w:rPr>
              <w:t>Portal Terra. </w:t>
            </w:r>
            <w:r w:rsidRPr="00C20B63">
              <w:rPr>
                <w:rFonts w:ascii="Arial" w:eastAsia="Times New Roman" w:hAnsi="Arial" w:cs="Arial"/>
                <w:b/>
                <w:bCs/>
                <w:color w:val="424242"/>
                <w:lang w:eastAsia="pt-BR"/>
              </w:rPr>
              <w:t>Você repórter: cadeirantes do handebol miram Olimpíada</w:t>
            </w:r>
            <w:r w:rsidRPr="00C20B63">
              <w:rPr>
                <w:rFonts w:ascii="Arial" w:eastAsia="Times New Roman" w:hAnsi="Arial" w:cs="Arial"/>
                <w:color w:val="424242"/>
                <w:lang w:eastAsia="pt-BR"/>
              </w:rPr>
              <w:t>. Disponível em: </w:t>
            </w:r>
            <w:hyperlink r:id="rId8" w:tgtFrame="_blank" w:history="1">
              <w:r w:rsidRPr="00C20B63">
                <w:rPr>
                  <w:rFonts w:ascii="Arial" w:eastAsia="Times New Roman" w:hAnsi="Arial" w:cs="Arial"/>
                  <w:color w:val="0D5AA3"/>
                  <w:u w:val="single"/>
                  <w:lang w:eastAsia="pt-BR"/>
                </w:rPr>
                <w:t>http://migre.me/8WsHB</w:t>
              </w:r>
            </w:hyperlink>
            <w:r w:rsidRPr="00C20B63">
              <w:rPr>
                <w:rFonts w:ascii="Arial" w:eastAsia="Times New Roman" w:hAnsi="Arial" w:cs="Arial"/>
                <w:color w:val="424242"/>
                <w:lang w:eastAsia="pt-BR"/>
              </w:rPr>
              <w:t xml:space="preserve"> acessado em: </w:t>
            </w:r>
            <w:proofErr w:type="gramStart"/>
            <w:r w:rsidRPr="00C20B63">
              <w:rPr>
                <w:rFonts w:ascii="Arial" w:eastAsia="Times New Roman" w:hAnsi="Arial" w:cs="Arial"/>
                <w:color w:val="424242"/>
                <w:lang w:eastAsia="pt-BR"/>
              </w:rPr>
              <w:t>05/04/2012</w:t>
            </w:r>
            <w:proofErr w:type="gramEnd"/>
          </w:p>
        </w:tc>
      </w:tr>
    </w:tbl>
    <w:p w:rsidR="0054250F" w:rsidRPr="00C20B63" w:rsidRDefault="0054250F" w:rsidP="00C20B63">
      <w:pPr>
        <w:pStyle w:val="SemEspaamento"/>
        <w:spacing w:line="276" w:lineRule="auto"/>
        <w:jc w:val="both"/>
        <w:rPr>
          <w:rFonts w:ascii="Arial" w:eastAsia="Times New Roman" w:hAnsi="Arial" w:cs="Arial"/>
          <w:color w:val="424242"/>
          <w:lang w:eastAsia="pt-BR"/>
        </w:rPr>
      </w:pPr>
      <w:r w:rsidRPr="00C20B63">
        <w:rPr>
          <w:rFonts w:ascii="Arial" w:eastAsia="Times New Roman" w:hAnsi="Arial" w:cs="Arial"/>
          <w:color w:val="424242"/>
          <w:lang w:eastAsia="pt-BR"/>
        </w:rPr>
        <w:t xml:space="preserve"> No Brasil o esporte paraolímpico começou a ser praticado em 1958 quando o cadeirante Robson Sampaio de Almeida e Aldo </w:t>
      </w:r>
      <w:proofErr w:type="spellStart"/>
      <w:r w:rsidRPr="00C20B63">
        <w:rPr>
          <w:rFonts w:ascii="Arial" w:eastAsia="Times New Roman" w:hAnsi="Arial" w:cs="Arial"/>
          <w:color w:val="424242"/>
          <w:lang w:eastAsia="pt-BR"/>
        </w:rPr>
        <w:t>Miccolis</w:t>
      </w:r>
      <w:proofErr w:type="spellEnd"/>
      <w:r w:rsidRPr="00C20B63">
        <w:rPr>
          <w:rFonts w:ascii="Arial" w:eastAsia="Times New Roman" w:hAnsi="Arial" w:cs="Arial"/>
          <w:color w:val="424242"/>
          <w:lang w:eastAsia="pt-BR"/>
        </w:rPr>
        <w:t xml:space="preserve"> </w:t>
      </w:r>
      <w:proofErr w:type="gramStart"/>
      <w:r w:rsidRPr="00C20B63">
        <w:rPr>
          <w:rFonts w:ascii="Arial" w:eastAsia="Times New Roman" w:hAnsi="Arial" w:cs="Arial"/>
          <w:color w:val="424242"/>
          <w:lang w:eastAsia="pt-BR"/>
        </w:rPr>
        <w:t>fundaram</w:t>
      </w:r>
      <w:proofErr w:type="gramEnd"/>
      <w:r w:rsidRPr="00C20B63">
        <w:rPr>
          <w:rFonts w:ascii="Arial" w:eastAsia="Times New Roman" w:hAnsi="Arial" w:cs="Arial"/>
          <w:color w:val="424242"/>
          <w:lang w:eastAsia="pt-BR"/>
        </w:rPr>
        <w:t xml:space="preserve"> o Clube do Otimismo, </w:t>
      </w:r>
      <w:bookmarkStart w:id="0" w:name="_GoBack"/>
      <w:bookmarkEnd w:id="0"/>
      <w:r w:rsidRPr="00C20B63">
        <w:rPr>
          <w:rFonts w:ascii="Arial" w:eastAsia="Times New Roman" w:hAnsi="Arial" w:cs="Arial"/>
          <w:color w:val="424242"/>
          <w:lang w:eastAsia="pt-BR"/>
        </w:rPr>
        <w:t xml:space="preserve">no Rio de Janeiro. No mesmo ano, o também deficiente Sérgio </w:t>
      </w:r>
      <w:proofErr w:type="spellStart"/>
      <w:r w:rsidRPr="00C20B63">
        <w:rPr>
          <w:rFonts w:ascii="Arial" w:eastAsia="Times New Roman" w:hAnsi="Arial" w:cs="Arial"/>
          <w:color w:val="424242"/>
          <w:lang w:eastAsia="pt-BR"/>
        </w:rPr>
        <w:t>Seraphin</w:t>
      </w:r>
      <w:proofErr w:type="spellEnd"/>
      <w:r w:rsidRPr="00C20B63">
        <w:rPr>
          <w:rFonts w:ascii="Arial" w:eastAsia="Times New Roman" w:hAnsi="Arial" w:cs="Arial"/>
          <w:color w:val="424242"/>
          <w:lang w:eastAsia="pt-BR"/>
        </w:rPr>
        <w:t xml:space="preserve"> Del Grande criou o Clube dos Paraplégicos de São Paulo.</w:t>
      </w:r>
    </w:p>
    <w:p w:rsidR="0054250F" w:rsidRPr="00C20B63" w:rsidRDefault="0054250F" w:rsidP="00C20B63">
      <w:pPr>
        <w:pStyle w:val="SemEspaamento"/>
        <w:spacing w:line="276" w:lineRule="auto"/>
        <w:jc w:val="both"/>
        <w:rPr>
          <w:rFonts w:ascii="Arial" w:eastAsia="Times New Roman" w:hAnsi="Arial" w:cs="Arial"/>
          <w:color w:val="424242"/>
          <w:lang w:eastAsia="pt-BR"/>
        </w:rPr>
      </w:pPr>
      <w:r w:rsidRPr="00C20B63">
        <w:rPr>
          <w:rFonts w:ascii="Arial" w:eastAsia="Times New Roman" w:hAnsi="Arial" w:cs="Arial"/>
          <w:color w:val="424242"/>
          <w:lang w:eastAsia="pt-BR"/>
        </w:rPr>
        <w:t>O handebol em cadeiras de rodas é uma modalidade nova nos esportes adaptados. Foi criado em 2005, no município de Toledo, no Paraná, por professores do curso de Educação Física da Universidade Paranaense.</w:t>
      </w:r>
    </w:p>
    <w:p w:rsidR="00293968" w:rsidRPr="00C20B63" w:rsidRDefault="00293968" w:rsidP="00C20B63">
      <w:pPr>
        <w:pStyle w:val="SemEspaamento"/>
        <w:spacing w:line="276" w:lineRule="auto"/>
        <w:jc w:val="both"/>
        <w:rPr>
          <w:rFonts w:ascii="Arial" w:eastAsia="Times New Roman" w:hAnsi="Arial" w:cs="Arial"/>
          <w:color w:val="222222"/>
          <w:lang w:eastAsia="pt-BR"/>
        </w:rPr>
      </w:pPr>
      <w:r w:rsidRPr="00C20B63">
        <w:rPr>
          <w:rFonts w:ascii="Arial" w:eastAsia="Times New Roman" w:hAnsi="Arial" w:cs="Arial"/>
          <w:color w:val="222222"/>
          <w:lang w:eastAsia="pt-BR"/>
        </w:rPr>
        <w:t xml:space="preserve">Como é uma modalidade recente, o handebol em cadeira de rodas ainda está sendo difundido e </w:t>
      </w:r>
      <w:proofErr w:type="gramStart"/>
      <w:r w:rsidRPr="00C20B63">
        <w:rPr>
          <w:rFonts w:ascii="Arial" w:eastAsia="Times New Roman" w:hAnsi="Arial" w:cs="Arial"/>
          <w:color w:val="222222"/>
          <w:lang w:eastAsia="pt-BR"/>
        </w:rPr>
        <w:t>conta</w:t>
      </w:r>
      <w:proofErr w:type="gramEnd"/>
      <w:r w:rsidRPr="00C20B63">
        <w:rPr>
          <w:rFonts w:ascii="Arial" w:eastAsia="Times New Roman" w:hAnsi="Arial" w:cs="Arial"/>
          <w:color w:val="222222"/>
          <w:lang w:eastAsia="pt-BR"/>
        </w:rPr>
        <w:t xml:space="preserve"> com algumas equipes formadas, principalmente na região Sul e Sudeste. Alguns campeonatos também já vêm acontecendo como exemplo os campeonatos do Itajaí Handball </w:t>
      </w:r>
      <w:proofErr w:type="spellStart"/>
      <w:r w:rsidRPr="00C20B63">
        <w:rPr>
          <w:rFonts w:ascii="Arial" w:eastAsia="Times New Roman" w:hAnsi="Arial" w:cs="Arial"/>
          <w:color w:val="222222"/>
          <w:lang w:eastAsia="pt-BR"/>
        </w:rPr>
        <w:t>Cup</w:t>
      </w:r>
      <w:proofErr w:type="spellEnd"/>
      <w:r w:rsidRPr="00C20B63">
        <w:rPr>
          <w:rFonts w:ascii="Arial" w:eastAsia="Times New Roman" w:hAnsi="Arial" w:cs="Arial"/>
          <w:color w:val="222222"/>
          <w:lang w:eastAsia="pt-BR"/>
        </w:rPr>
        <w:t xml:space="preserve"> e a Copa Oeste de Handebol em Toledo-PR.</w:t>
      </w:r>
    </w:p>
    <w:p w:rsidR="00293968" w:rsidRPr="00C20B63" w:rsidRDefault="00293968" w:rsidP="00C20B63">
      <w:pPr>
        <w:pStyle w:val="SemEspaamento"/>
        <w:spacing w:line="276" w:lineRule="auto"/>
        <w:jc w:val="both"/>
        <w:rPr>
          <w:rFonts w:ascii="Arial" w:eastAsia="Times New Roman" w:hAnsi="Arial" w:cs="Arial"/>
          <w:color w:val="222222"/>
          <w:lang w:eastAsia="pt-BR"/>
        </w:rPr>
      </w:pPr>
      <w:r w:rsidRPr="00C20B63">
        <w:rPr>
          <w:rFonts w:ascii="Arial" w:eastAsia="Times New Roman" w:hAnsi="Arial" w:cs="Arial"/>
          <w:color w:val="222222"/>
          <w:lang w:eastAsia="pt-BR"/>
        </w:rPr>
        <w:t xml:space="preserve">Esta modalidade esportiva foi pensada para que pessoas portadoras de deficiência física pudessem praticar o handebol de duas formas diferentes: através do Handebol Sete (Handball </w:t>
      </w:r>
      <w:proofErr w:type="spellStart"/>
      <w:r w:rsidRPr="00C20B63">
        <w:rPr>
          <w:rFonts w:ascii="Arial" w:eastAsia="Times New Roman" w:hAnsi="Arial" w:cs="Arial"/>
          <w:color w:val="222222"/>
          <w:lang w:eastAsia="pt-BR"/>
        </w:rPr>
        <w:t>Seven</w:t>
      </w:r>
      <w:proofErr w:type="spellEnd"/>
      <w:r w:rsidRPr="00C20B63">
        <w:rPr>
          <w:rFonts w:ascii="Arial" w:eastAsia="Times New Roman" w:hAnsi="Arial" w:cs="Arial"/>
          <w:color w:val="222222"/>
          <w:lang w:eastAsia="pt-BR"/>
        </w:rPr>
        <w:t xml:space="preserve"> ou HCR7) e do Handebol Quatro (Handball Four ou HCR4).</w:t>
      </w:r>
    </w:p>
    <w:p w:rsidR="00293968" w:rsidRPr="00C20B63" w:rsidRDefault="00293968" w:rsidP="00C20B63">
      <w:pPr>
        <w:pStyle w:val="SemEspaamento"/>
        <w:spacing w:line="276" w:lineRule="auto"/>
        <w:jc w:val="both"/>
        <w:rPr>
          <w:rFonts w:ascii="Arial" w:eastAsia="Times New Roman" w:hAnsi="Arial" w:cs="Arial"/>
          <w:color w:val="222222"/>
          <w:lang w:eastAsia="pt-BR"/>
        </w:rPr>
      </w:pPr>
      <w:r w:rsidRPr="00C20B63">
        <w:rPr>
          <w:rFonts w:ascii="Arial" w:eastAsia="Times New Roman" w:hAnsi="Arial" w:cs="Arial"/>
          <w:color w:val="222222"/>
          <w:lang w:eastAsia="pt-BR"/>
        </w:rPr>
        <w:t>A primeira forma descrita, o HCR7, é disputada na quadra oficial da modalidade de handebol, com tempo de jogo, regras, número de jogadores, substituições e regras gerais muito próximas ao handebol convencional, sendo que todos os jogadores podem atuar como goleiro a qualquer momento do jogo, desde que não estejam na área do goleiro dois defensores, caso ocorra esta situação a equipe é punida com um tiro de sete metros.</w:t>
      </w:r>
    </w:p>
    <w:p w:rsidR="00293968" w:rsidRPr="00C20B63" w:rsidRDefault="00293968" w:rsidP="00C20B63">
      <w:pPr>
        <w:pStyle w:val="SemEspaamento"/>
        <w:spacing w:line="276" w:lineRule="auto"/>
        <w:jc w:val="both"/>
        <w:rPr>
          <w:rFonts w:ascii="Arial" w:eastAsia="Times New Roman" w:hAnsi="Arial" w:cs="Arial"/>
          <w:color w:val="222222"/>
          <w:lang w:eastAsia="pt-BR"/>
        </w:rPr>
      </w:pPr>
      <w:r w:rsidRPr="00C20B63">
        <w:rPr>
          <w:rFonts w:ascii="Arial" w:eastAsia="Times New Roman" w:hAnsi="Arial" w:cs="Arial"/>
          <w:color w:val="222222"/>
          <w:lang w:eastAsia="pt-BR"/>
        </w:rPr>
        <w:t xml:space="preserve">Já o HCR4 assemelha-se ao handebol de areia, sua área de disputa utiliza as linhas da quadra de basquete, é disputado por quatro jogadores, sendo um goleiro e três jogadores de linha, e a mesma regra quanto ao goleiro do HCR7. A área do goleiro é definida pelo prolongamento da linha de lance livre da quadra de basquete um metro após a linha lateral, delimitando também a zona de substituição, que coincide com a área do goleiro. O jogo é disputado em dois sets de quinze minutos cada com cinco minutos de intervalo e o placar volta </w:t>
      </w:r>
      <w:proofErr w:type="gramStart"/>
      <w:r w:rsidRPr="00C20B63">
        <w:rPr>
          <w:rFonts w:ascii="Arial" w:eastAsia="Times New Roman" w:hAnsi="Arial" w:cs="Arial"/>
          <w:color w:val="222222"/>
          <w:lang w:eastAsia="pt-BR"/>
        </w:rPr>
        <w:t>a</w:t>
      </w:r>
      <w:proofErr w:type="gramEnd"/>
      <w:r w:rsidRPr="00C20B63">
        <w:rPr>
          <w:rFonts w:ascii="Arial" w:eastAsia="Times New Roman" w:hAnsi="Arial" w:cs="Arial"/>
          <w:color w:val="222222"/>
          <w:lang w:eastAsia="pt-BR"/>
        </w:rPr>
        <w:t xml:space="preserve"> zero ao final de cada set. Em caso de empate será disputado um tempo extra de dez minutos para decidir o vencedor do jogo. O desempate no set é feito através do gol de ouro. Assim como no handebol de areia, o HCR4 tem o gol espetacular que é o gol feito em condições especiais (após um giro de 360º, por exemplo) deve ser considerado como se valesse dois gols.</w:t>
      </w:r>
    </w:p>
    <w:p w:rsidR="00293968" w:rsidRPr="00C20B63" w:rsidRDefault="00293968" w:rsidP="00C20B63">
      <w:pPr>
        <w:pStyle w:val="SemEspaamento"/>
        <w:spacing w:line="276" w:lineRule="auto"/>
        <w:jc w:val="both"/>
        <w:rPr>
          <w:rFonts w:ascii="Arial" w:eastAsia="Times New Roman" w:hAnsi="Arial" w:cs="Arial"/>
          <w:color w:val="222222"/>
          <w:lang w:eastAsia="pt-BR"/>
        </w:rPr>
      </w:pPr>
      <w:r w:rsidRPr="00C20B63">
        <w:rPr>
          <w:rFonts w:ascii="Arial" w:eastAsia="Times New Roman" w:hAnsi="Arial" w:cs="Arial"/>
          <w:color w:val="222222"/>
          <w:lang w:eastAsia="pt-BR"/>
        </w:rPr>
        <w:t>As regras gerais do handebol convencional valem para o HCR, ou seja, não é permitido conduzir a bola, dar duas saídas, deve permanecer no máximo 3 segundos em posse da bola sem driblar, o trifásico também é permitido e o limite dos “três passos” é substituído pelos toques na cadeira. Ainda nesta modalidade não é permitido conduzir a bola sobre as pernas, diferente do que acontece no basquete sobre rodas.</w:t>
      </w:r>
    </w:p>
    <w:p w:rsidR="00293968" w:rsidRPr="00C20B63" w:rsidRDefault="00293968" w:rsidP="00C20B63">
      <w:pPr>
        <w:pStyle w:val="SemEspaamento"/>
        <w:spacing w:line="276" w:lineRule="auto"/>
        <w:jc w:val="both"/>
        <w:rPr>
          <w:rFonts w:ascii="Arial" w:eastAsia="Times New Roman" w:hAnsi="Arial" w:cs="Arial"/>
          <w:color w:val="222222"/>
          <w:lang w:eastAsia="pt-BR"/>
        </w:rPr>
      </w:pPr>
      <w:r w:rsidRPr="00C20B63">
        <w:rPr>
          <w:rFonts w:ascii="Arial" w:eastAsia="Times New Roman" w:hAnsi="Arial" w:cs="Arial"/>
          <w:color w:val="222222"/>
          <w:lang w:eastAsia="pt-BR"/>
        </w:rPr>
        <w:lastRenderedPageBreak/>
        <w:t>Existe uma classificação para os jogadores, baseado na observação destes de acordo com seu desempenho em habilidades do handebol como driblar, passar, empurrar a cadeira, arremessar. As classes são: 1.0, 1.5, 2.0, 2.5, 3.0, 3.5, 4.0 e 4.5. A cada jogador é atribuído um valor em pontos igual à sua classificação.</w:t>
      </w:r>
    </w:p>
    <w:p w:rsidR="00293968" w:rsidRPr="00C20B63" w:rsidRDefault="00293968" w:rsidP="00C20B63">
      <w:pPr>
        <w:pStyle w:val="SemEspaamento"/>
        <w:spacing w:line="276" w:lineRule="auto"/>
        <w:jc w:val="both"/>
        <w:rPr>
          <w:rFonts w:ascii="Arial" w:eastAsia="Times New Roman" w:hAnsi="Arial" w:cs="Arial"/>
          <w:color w:val="222222"/>
          <w:lang w:eastAsia="pt-BR"/>
        </w:rPr>
      </w:pPr>
      <w:r w:rsidRPr="00C20B63">
        <w:rPr>
          <w:rFonts w:ascii="Arial" w:eastAsia="Times New Roman" w:hAnsi="Arial" w:cs="Arial"/>
          <w:i/>
          <w:iCs/>
          <w:color w:val="222222"/>
          <w:lang w:eastAsia="pt-BR"/>
        </w:rPr>
        <w:t xml:space="preserve">“Os pontos dos sete jogadores são somados para formar um time que alcance um determinado total de pontos. Para os Campeonatos Mundiais da IWHF, competições </w:t>
      </w:r>
      <w:proofErr w:type="spellStart"/>
      <w:r w:rsidRPr="00C20B63">
        <w:rPr>
          <w:rFonts w:ascii="Arial" w:eastAsia="Times New Roman" w:hAnsi="Arial" w:cs="Arial"/>
          <w:i/>
          <w:iCs/>
          <w:color w:val="222222"/>
          <w:lang w:eastAsia="pt-BR"/>
        </w:rPr>
        <w:t>para-olímpicas</w:t>
      </w:r>
      <w:proofErr w:type="spellEnd"/>
      <w:r w:rsidRPr="00C20B63">
        <w:rPr>
          <w:rFonts w:ascii="Arial" w:eastAsia="Times New Roman" w:hAnsi="Arial" w:cs="Arial"/>
          <w:i/>
          <w:iCs/>
          <w:color w:val="222222"/>
          <w:lang w:eastAsia="pt-BR"/>
        </w:rPr>
        <w:t>, campeonatos locais e torneios classificatórios para esses eventos o time não pode exceder a 14 – 18 – 21 pontos”. (retirado do site </w:t>
      </w:r>
      <w:hyperlink r:id="rId9" w:tgtFrame="_blank" w:history="1">
        <w:r w:rsidRPr="00C20B63">
          <w:rPr>
            <w:rFonts w:ascii="Arial" w:eastAsia="Times New Roman" w:hAnsi="Arial" w:cs="Arial"/>
            <w:i/>
            <w:iCs/>
            <w:color w:val="D11415"/>
            <w:u w:val="single"/>
            <w:lang w:eastAsia="pt-BR"/>
          </w:rPr>
          <w:t>www.hcrbrasil.com.br</w:t>
        </w:r>
      </w:hyperlink>
      <w:r w:rsidRPr="00C20B63">
        <w:rPr>
          <w:rFonts w:ascii="Arial" w:eastAsia="Times New Roman" w:hAnsi="Arial" w:cs="Arial"/>
          <w:i/>
          <w:iCs/>
          <w:color w:val="222222"/>
          <w:lang w:eastAsia="pt-BR"/>
        </w:rPr>
        <w:t>)</w:t>
      </w:r>
    </w:p>
    <w:p w:rsidR="00293968" w:rsidRPr="00C20B63" w:rsidRDefault="00293968" w:rsidP="00C20B63">
      <w:pPr>
        <w:pStyle w:val="SemEspaamento"/>
        <w:spacing w:line="276" w:lineRule="auto"/>
        <w:jc w:val="both"/>
        <w:rPr>
          <w:rFonts w:ascii="Arial" w:eastAsia="Times New Roman" w:hAnsi="Arial" w:cs="Arial"/>
          <w:color w:val="222222"/>
          <w:lang w:eastAsia="pt-BR"/>
        </w:rPr>
      </w:pPr>
      <w:r w:rsidRPr="00C20B63">
        <w:rPr>
          <w:rFonts w:ascii="Arial" w:eastAsia="Times New Roman" w:hAnsi="Arial" w:cs="Arial"/>
          <w:color w:val="222222"/>
          <w:lang w:eastAsia="pt-BR"/>
        </w:rPr>
        <w:t xml:space="preserve">Ainda não encontrei estudos que tratem sobre a transferência da estrutura tática do handebol convencional para o HCR, porém na prática é possível observar que as estratégias são muito parecidas. Devido </w:t>
      </w:r>
      <w:proofErr w:type="gramStart"/>
      <w:r w:rsidRPr="00C20B63">
        <w:rPr>
          <w:rFonts w:ascii="Arial" w:eastAsia="Times New Roman" w:hAnsi="Arial" w:cs="Arial"/>
          <w:color w:val="222222"/>
          <w:lang w:eastAsia="pt-BR"/>
        </w:rPr>
        <w:t>a</w:t>
      </w:r>
      <w:proofErr w:type="gramEnd"/>
      <w:r w:rsidRPr="00C20B63">
        <w:rPr>
          <w:rFonts w:ascii="Arial" w:eastAsia="Times New Roman" w:hAnsi="Arial" w:cs="Arial"/>
          <w:color w:val="222222"/>
          <w:lang w:eastAsia="pt-BR"/>
        </w:rPr>
        <w:t xml:space="preserve"> semelhança de regras e por conservar muito da estrutura do jogo convencional o HCR tem características semelhantes ao handebol de andantes. Nas diferenças encontradas está a questão da movimentação para gerar espaços para o ataque no Handebol Sete devido </w:t>
      </w:r>
      <w:proofErr w:type="gramStart"/>
      <w:r w:rsidRPr="00C20B63">
        <w:rPr>
          <w:rFonts w:ascii="Arial" w:eastAsia="Times New Roman" w:hAnsi="Arial" w:cs="Arial"/>
          <w:color w:val="222222"/>
          <w:lang w:eastAsia="pt-BR"/>
        </w:rPr>
        <w:t>a</w:t>
      </w:r>
      <w:proofErr w:type="gramEnd"/>
      <w:r w:rsidRPr="00C20B63">
        <w:rPr>
          <w:rFonts w:ascii="Arial" w:eastAsia="Times New Roman" w:hAnsi="Arial" w:cs="Arial"/>
          <w:color w:val="222222"/>
          <w:lang w:eastAsia="pt-BR"/>
        </w:rPr>
        <w:t xml:space="preserve"> estrutura da quadra, pois o espaço torna-se menor quando ocupado pela cadeira, logo os espaços para infiltração, fintas, trajetórias precisam ser maiores do que quando ocupados somente pelo corpo do atleta.</w:t>
      </w:r>
    </w:p>
    <w:p w:rsidR="00293968" w:rsidRPr="00C20B63" w:rsidRDefault="00293968" w:rsidP="00C20B63">
      <w:pPr>
        <w:pStyle w:val="SemEspaamento"/>
        <w:spacing w:line="276" w:lineRule="auto"/>
        <w:jc w:val="both"/>
        <w:rPr>
          <w:rFonts w:ascii="Arial" w:eastAsia="Times New Roman" w:hAnsi="Arial" w:cs="Arial"/>
          <w:color w:val="222222"/>
          <w:lang w:eastAsia="pt-BR"/>
        </w:rPr>
      </w:pPr>
      <w:r w:rsidRPr="00C20B63">
        <w:rPr>
          <w:rFonts w:ascii="Arial" w:eastAsia="Times New Roman" w:hAnsi="Arial" w:cs="Arial"/>
          <w:color w:val="222222"/>
          <w:lang w:eastAsia="pt-BR"/>
        </w:rPr>
        <w:t xml:space="preserve">Na iniciação a esta modalidade muitos jogos </w:t>
      </w:r>
      <w:proofErr w:type="spellStart"/>
      <w:r w:rsidRPr="00C20B63">
        <w:rPr>
          <w:rFonts w:ascii="Arial" w:eastAsia="Times New Roman" w:hAnsi="Arial" w:cs="Arial"/>
          <w:color w:val="222222"/>
          <w:lang w:eastAsia="pt-BR"/>
        </w:rPr>
        <w:t>pré</w:t>
      </w:r>
      <w:proofErr w:type="spellEnd"/>
      <w:r w:rsidRPr="00C20B63">
        <w:rPr>
          <w:rFonts w:ascii="Arial" w:eastAsia="Times New Roman" w:hAnsi="Arial" w:cs="Arial"/>
          <w:color w:val="222222"/>
          <w:lang w:eastAsia="pt-BR"/>
        </w:rPr>
        <w:t xml:space="preserve">-desportivos podem ser utilizados para a compreensão e assimilação dos conceitos, bem como aprendizagem de fundamentos. Os mesmos conceitos e metodologia que acreditamos para a aprendizagem do handebol convencional podem ser aplicados ao handebol em cadeira de rodas, uma vez que a metodologia baseia-se na aprendizagem através do jogo, sempre visando </w:t>
      </w:r>
      <w:proofErr w:type="gramStart"/>
      <w:r w:rsidRPr="00C20B63">
        <w:rPr>
          <w:rFonts w:ascii="Arial" w:eastAsia="Times New Roman" w:hAnsi="Arial" w:cs="Arial"/>
          <w:color w:val="222222"/>
          <w:lang w:eastAsia="pt-BR"/>
        </w:rPr>
        <w:t>a</w:t>
      </w:r>
      <w:proofErr w:type="gramEnd"/>
      <w:r w:rsidRPr="00C20B63">
        <w:rPr>
          <w:rFonts w:ascii="Arial" w:eastAsia="Times New Roman" w:hAnsi="Arial" w:cs="Arial"/>
          <w:color w:val="222222"/>
          <w:lang w:eastAsia="pt-BR"/>
        </w:rPr>
        <w:t xml:space="preserve"> formação de atletas que pensem no jogo como um fenômeno complexo, e não como execução de fundamentos soltos.</w:t>
      </w:r>
    </w:p>
    <w:p w:rsidR="00293968" w:rsidRPr="00C20B63" w:rsidRDefault="00293968" w:rsidP="00C20B63">
      <w:pPr>
        <w:pStyle w:val="SemEspaamento"/>
        <w:spacing w:line="276" w:lineRule="auto"/>
        <w:jc w:val="both"/>
        <w:rPr>
          <w:rFonts w:ascii="Arial" w:eastAsia="Times New Roman" w:hAnsi="Arial" w:cs="Arial"/>
          <w:color w:val="222222"/>
          <w:lang w:eastAsia="pt-BR"/>
        </w:rPr>
      </w:pPr>
      <w:r w:rsidRPr="00C20B63">
        <w:rPr>
          <w:rFonts w:ascii="Arial" w:eastAsia="Times New Roman" w:hAnsi="Arial" w:cs="Arial"/>
          <w:color w:val="222222"/>
          <w:lang w:eastAsia="pt-BR"/>
        </w:rPr>
        <w:t xml:space="preserve">Porém, por se tratar de pessoas que possuem algum tipo de deficiência não é possível deixar de tratar os fundamentos fora do jogo coletivo, pois há grandes diferenças de lesões dentro de um mesmo grupo de atletas de HCR, por isso é preciso dar atenção ao desenvolvimento de habilidades, não de maneira tecnicista, mas dentro de jogos menores, com número de participantes reduzidos para que estes atletas possam executar movimentos, que devido </w:t>
      </w:r>
      <w:proofErr w:type="gramStart"/>
      <w:r w:rsidRPr="00C20B63">
        <w:rPr>
          <w:rFonts w:ascii="Arial" w:eastAsia="Times New Roman" w:hAnsi="Arial" w:cs="Arial"/>
          <w:color w:val="222222"/>
          <w:lang w:eastAsia="pt-BR"/>
        </w:rPr>
        <w:t>a</w:t>
      </w:r>
      <w:proofErr w:type="gramEnd"/>
      <w:r w:rsidRPr="00C20B63">
        <w:rPr>
          <w:rFonts w:ascii="Arial" w:eastAsia="Times New Roman" w:hAnsi="Arial" w:cs="Arial"/>
          <w:color w:val="222222"/>
          <w:lang w:eastAsia="pt-BR"/>
        </w:rPr>
        <w:t xml:space="preserve"> lesão, são de complexidades diferentes. Ou seja, a dificuldade de fazer um passe não está só no fenômeno da aprendizagem, existe a limitação física, por isso os jogos e alguns trabalhos de habilidades individuais, porém com foco no jogo, devem ser feitos dentro das aulas/treinamento dos atletas.</w:t>
      </w:r>
    </w:p>
    <w:p w:rsidR="00C20B63" w:rsidRDefault="00C20B63" w:rsidP="00C20B63">
      <w:pPr>
        <w:pStyle w:val="SemEspaamento"/>
        <w:spacing w:line="276" w:lineRule="auto"/>
        <w:jc w:val="both"/>
        <w:rPr>
          <w:rFonts w:ascii="Arial" w:eastAsia="Times New Roman" w:hAnsi="Arial" w:cs="Arial"/>
          <w:b/>
          <w:bCs/>
          <w:color w:val="222222"/>
          <w:lang w:eastAsia="pt-BR"/>
        </w:rPr>
      </w:pPr>
    </w:p>
    <w:p w:rsidR="00293968" w:rsidRPr="00C20B63" w:rsidRDefault="00C20B63" w:rsidP="00C20B63">
      <w:pPr>
        <w:pStyle w:val="SemEspaamento"/>
        <w:spacing w:line="276" w:lineRule="auto"/>
        <w:jc w:val="both"/>
        <w:rPr>
          <w:rFonts w:ascii="Arial" w:eastAsia="Times New Roman" w:hAnsi="Arial" w:cs="Arial"/>
          <w:color w:val="222222"/>
          <w:lang w:eastAsia="pt-BR"/>
        </w:rPr>
      </w:pPr>
      <w:r w:rsidRPr="00C20B63">
        <w:rPr>
          <w:rFonts w:ascii="Arial" w:eastAsia="Times New Roman" w:hAnsi="Arial" w:cs="Arial"/>
          <w:b/>
          <w:bCs/>
          <w:color w:val="222222"/>
          <w:lang w:eastAsia="pt-BR"/>
        </w:rPr>
        <w:t>REFERÊNCIAS:</w:t>
      </w:r>
    </w:p>
    <w:p w:rsidR="00293968" w:rsidRPr="00C20B63" w:rsidRDefault="00293968" w:rsidP="00C20B63">
      <w:pPr>
        <w:pStyle w:val="SemEspaamento"/>
        <w:spacing w:line="276" w:lineRule="auto"/>
        <w:jc w:val="both"/>
        <w:rPr>
          <w:rFonts w:ascii="Arial" w:eastAsia="Times New Roman" w:hAnsi="Arial" w:cs="Arial"/>
          <w:color w:val="222222"/>
          <w:lang w:eastAsia="pt-BR"/>
        </w:rPr>
      </w:pPr>
      <w:r w:rsidRPr="00C20B63">
        <w:rPr>
          <w:rFonts w:ascii="Arial" w:eastAsia="Times New Roman" w:hAnsi="Arial" w:cs="Arial"/>
          <w:color w:val="222222"/>
          <w:lang w:eastAsia="pt-BR"/>
        </w:rPr>
        <w:t>CALEGARI, D.R. GORLA, J.I; CARMINATO, R.A. Handebol Adaptado: explorando possibilidades. Anais da 57ª Reunião Anual da SBPC – Fortaleza, CE – Julho/2005.</w:t>
      </w:r>
    </w:p>
    <w:p w:rsidR="00293968" w:rsidRPr="00C20B63" w:rsidRDefault="00C20B63" w:rsidP="00C20B63">
      <w:pPr>
        <w:pStyle w:val="SemEspaamento"/>
        <w:spacing w:line="276" w:lineRule="auto"/>
        <w:jc w:val="both"/>
        <w:rPr>
          <w:rFonts w:ascii="Arial" w:eastAsia="Times New Roman" w:hAnsi="Arial" w:cs="Arial"/>
          <w:color w:val="222222"/>
          <w:lang w:eastAsia="pt-BR"/>
        </w:rPr>
      </w:pPr>
      <w:hyperlink r:id="rId10" w:history="1">
        <w:r w:rsidR="00293968" w:rsidRPr="00C20B63">
          <w:rPr>
            <w:rFonts w:ascii="Arial" w:eastAsia="Times New Roman" w:hAnsi="Arial" w:cs="Arial"/>
            <w:color w:val="D11415"/>
            <w:u w:val="single"/>
            <w:lang w:eastAsia="pt-BR"/>
          </w:rPr>
          <w:t>http://www.hcrbrasil.com.br/</w:t>
        </w:r>
      </w:hyperlink>
      <w:r w:rsidR="00293968" w:rsidRPr="00C20B63">
        <w:rPr>
          <w:rFonts w:ascii="Arial" w:eastAsia="Times New Roman" w:hAnsi="Arial" w:cs="Arial"/>
          <w:color w:val="222222"/>
          <w:lang w:eastAsia="pt-BR"/>
        </w:rPr>
        <w:t> (acessado em 03 de março de 2009).</w:t>
      </w:r>
    </w:p>
    <w:p w:rsidR="00293968" w:rsidRPr="00C20B63" w:rsidRDefault="00C20B63" w:rsidP="00C20B63">
      <w:pPr>
        <w:pStyle w:val="SemEspaamento"/>
        <w:spacing w:line="276" w:lineRule="auto"/>
        <w:jc w:val="both"/>
        <w:rPr>
          <w:rFonts w:ascii="Arial" w:eastAsia="Times New Roman" w:hAnsi="Arial" w:cs="Arial"/>
          <w:color w:val="222222"/>
          <w:lang w:eastAsia="pt-BR"/>
        </w:rPr>
      </w:pPr>
      <w:hyperlink r:id="rId11" w:history="1">
        <w:r w:rsidR="00293968" w:rsidRPr="00C20B63">
          <w:rPr>
            <w:rFonts w:ascii="Arial" w:eastAsia="Times New Roman" w:hAnsi="Arial" w:cs="Arial"/>
            <w:color w:val="D11415"/>
            <w:u w:val="single"/>
            <w:lang w:eastAsia="pt-BR"/>
          </w:rPr>
          <w:t>http://www.institutoparadigma.org.br/site/noticias.asp?id=205</w:t>
        </w:r>
      </w:hyperlink>
      <w:r w:rsidR="00293968" w:rsidRPr="00C20B63">
        <w:rPr>
          <w:rFonts w:ascii="Arial" w:eastAsia="Times New Roman" w:hAnsi="Arial" w:cs="Arial"/>
          <w:color w:val="222222"/>
          <w:lang w:eastAsia="pt-BR"/>
        </w:rPr>
        <w:t>(acessado em 03 de março de 2009).</w:t>
      </w:r>
    </w:p>
    <w:p w:rsidR="0054250F" w:rsidRPr="00C20B63" w:rsidRDefault="0054250F" w:rsidP="00C20B63">
      <w:pPr>
        <w:pStyle w:val="SemEspaamento"/>
        <w:jc w:val="both"/>
        <w:rPr>
          <w:rFonts w:ascii="Arial" w:hAnsi="Arial" w:cs="Arial"/>
        </w:rPr>
      </w:pPr>
    </w:p>
    <w:sectPr w:rsidR="0054250F" w:rsidRPr="00C20B63" w:rsidSect="00C20B63">
      <w:pgSz w:w="11906" w:h="16838"/>
      <w:pgMar w:top="567" w:right="567" w:bottom="18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50F"/>
    <w:rsid w:val="00293968"/>
    <w:rsid w:val="0054250F"/>
    <w:rsid w:val="00C20B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20B6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20B63"/>
    <w:rPr>
      <w:rFonts w:ascii="Tahoma" w:hAnsi="Tahoma" w:cs="Tahoma"/>
      <w:sz w:val="16"/>
      <w:szCs w:val="16"/>
    </w:rPr>
  </w:style>
  <w:style w:type="paragraph" w:styleId="SemEspaamento">
    <w:name w:val="No Spacing"/>
    <w:uiPriority w:val="1"/>
    <w:qFormat/>
    <w:rsid w:val="00C20B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20B6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20B63"/>
    <w:rPr>
      <w:rFonts w:ascii="Tahoma" w:hAnsi="Tahoma" w:cs="Tahoma"/>
      <w:sz w:val="16"/>
      <w:szCs w:val="16"/>
    </w:rPr>
  </w:style>
  <w:style w:type="paragraph" w:styleId="SemEspaamento">
    <w:name w:val="No Spacing"/>
    <w:uiPriority w:val="1"/>
    <w:qFormat/>
    <w:rsid w:val="00C20B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364002">
      <w:bodyDiv w:val="1"/>
      <w:marLeft w:val="0"/>
      <w:marRight w:val="0"/>
      <w:marTop w:val="0"/>
      <w:marBottom w:val="0"/>
      <w:divBdr>
        <w:top w:val="none" w:sz="0" w:space="0" w:color="auto"/>
        <w:left w:val="none" w:sz="0" w:space="0" w:color="auto"/>
        <w:bottom w:val="none" w:sz="0" w:space="0" w:color="auto"/>
        <w:right w:val="none" w:sz="0" w:space="0" w:color="auto"/>
      </w:divBdr>
    </w:div>
    <w:div w:id="1874296551">
      <w:bodyDiv w:val="1"/>
      <w:marLeft w:val="0"/>
      <w:marRight w:val="0"/>
      <w:marTop w:val="0"/>
      <w:marBottom w:val="0"/>
      <w:divBdr>
        <w:top w:val="none" w:sz="0" w:space="0" w:color="auto"/>
        <w:left w:val="none" w:sz="0" w:space="0" w:color="auto"/>
        <w:bottom w:val="none" w:sz="0" w:space="0" w:color="auto"/>
        <w:right w:val="none" w:sz="0" w:space="0" w:color="auto"/>
      </w:divBdr>
      <w:divsChild>
        <w:div w:id="458768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ortes.terra.com.br/pequim2008/interna/0,,OI2927110-EI10378,00-vc+reporter+cadeirantes+do+handebol+miram+Olimpiad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pb.org.br/jogos-paralimpicos/" TargetMode="External"/><Relationship Id="rId11" Type="http://schemas.openxmlformats.org/officeDocument/2006/relationships/hyperlink" Target="http://www.institutoparadigma.org.br/site/noticias.asp?id=205" TargetMode="External"/><Relationship Id="rId5" Type="http://schemas.openxmlformats.org/officeDocument/2006/relationships/image" Target="media/image1.jpeg"/><Relationship Id="rId10" Type="http://schemas.openxmlformats.org/officeDocument/2006/relationships/hyperlink" Target="http://www.hcrbrasil.com.br/" TargetMode="External"/><Relationship Id="rId4" Type="http://schemas.openxmlformats.org/officeDocument/2006/relationships/webSettings" Target="webSettings.xml"/><Relationship Id="rId9" Type="http://schemas.openxmlformats.org/officeDocument/2006/relationships/hyperlink" Target="http://www.hcrbrasil.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1080</Words>
  <Characters>5836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nascimento</dc:creator>
  <cp:keywords/>
  <dc:description/>
  <cp:lastModifiedBy>Coordenação</cp:lastModifiedBy>
  <cp:revision>3</cp:revision>
  <dcterms:created xsi:type="dcterms:W3CDTF">2019-07-29T15:12:00Z</dcterms:created>
  <dcterms:modified xsi:type="dcterms:W3CDTF">2019-07-30T13:46:00Z</dcterms:modified>
</cp:coreProperties>
</file>